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54AD" w14:textId="77777777" w:rsidR="00DE2F02" w:rsidRPr="005313D3" w:rsidRDefault="00DE2F02" w:rsidP="005313D3">
      <w:pPr>
        <w:spacing w:after="0" w:line="240" w:lineRule="auto"/>
        <w:rPr>
          <w:rFonts w:ascii="Tahoma" w:hAnsi="Tahoma" w:cs="Tahoma"/>
          <w:b/>
          <w:bCs/>
          <w:sz w:val="24"/>
          <w:szCs w:val="24"/>
        </w:rPr>
      </w:pPr>
      <w:r w:rsidRPr="005313D3">
        <w:rPr>
          <w:rFonts w:ascii="Tahoma" w:hAnsi="Tahoma" w:cs="Tahoma"/>
          <w:b/>
          <w:bCs/>
          <w:sz w:val="24"/>
          <w:szCs w:val="24"/>
        </w:rPr>
        <w:t>PLATINUM JUBILEE VILLAGE HALLS FUND</w:t>
      </w:r>
    </w:p>
    <w:p w14:paraId="4D1EB3FC" w14:textId="31E1CE28" w:rsidR="00390191" w:rsidRPr="005313D3" w:rsidRDefault="00DE2F02" w:rsidP="005313D3">
      <w:pPr>
        <w:spacing w:after="0" w:line="240" w:lineRule="auto"/>
        <w:rPr>
          <w:rFonts w:ascii="Tahoma" w:hAnsi="Tahoma" w:cs="Tahoma"/>
          <w:b/>
          <w:bCs/>
          <w:sz w:val="24"/>
          <w:szCs w:val="24"/>
        </w:rPr>
      </w:pPr>
      <w:r w:rsidRPr="005313D3">
        <w:rPr>
          <w:rFonts w:ascii="Tahoma" w:hAnsi="Tahoma" w:cs="Tahoma"/>
          <w:b/>
          <w:bCs/>
          <w:sz w:val="24"/>
          <w:szCs w:val="24"/>
        </w:rPr>
        <w:t xml:space="preserve">SMALL GRANTS </w:t>
      </w:r>
      <w:r w:rsidR="006E187D" w:rsidRPr="005313D3">
        <w:rPr>
          <w:rFonts w:ascii="Tahoma" w:hAnsi="Tahoma" w:cs="Tahoma"/>
          <w:b/>
          <w:bCs/>
          <w:sz w:val="24"/>
          <w:szCs w:val="24"/>
        </w:rPr>
        <w:t>CRITERIA</w:t>
      </w:r>
    </w:p>
    <w:p w14:paraId="7C590B65" w14:textId="77777777" w:rsidR="00DE2F02" w:rsidRPr="005313D3" w:rsidRDefault="00DE2F02" w:rsidP="005313D3">
      <w:pPr>
        <w:spacing w:after="0" w:line="240" w:lineRule="auto"/>
        <w:rPr>
          <w:rFonts w:ascii="Tahoma" w:hAnsi="Tahoma" w:cs="Tahoma"/>
          <w:sz w:val="24"/>
          <w:szCs w:val="24"/>
        </w:rPr>
      </w:pPr>
    </w:p>
    <w:p w14:paraId="375C7B8C" w14:textId="77777777" w:rsidR="00DE2F02" w:rsidRPr="005313D3" w:rsidRDefault="00DE2F02" w:rsidP="005313D3">
      <w:pPr>
        <w:spacing w:after="0" w:line="240" w:lineRule="auto"/>
        <w:rPr>
          <w:rFonts w:ascii="Tahoma" w:eastAsia="Calibri" w:hAnsi="Tahoma" w:cs="Tahoma"/>
          <w:sz w:val="24"/>
          <w:szCs w:val="24"/>
        </w:rPr>
      </w:pPr>
      <w:r w:rsidRPr="005313D3">
        <w:rPr>
          <w:rFonts w:ascii="Tahoma" w:eastAsia="Calibri" w:hAnsi="Tahoma" w:cs="Tahoma"/>
          <w:sz w:val="24"/>
          <w:szCs w:val="24"/>
        </w:rPr>
        <w:t xml:space="preserve">The aim of the </w:t>
      </w:r>
      <w:r w:rsidRPr="005313D3">
        <w:rPr>
          <w:rFonts w:ascii="Tahoma" w:eastAsia="Arial" w:hAnsi="Tahoma" w:cs="Tahoma"/>
          <w:sz w:val="24"/>
          <w:szCs w:val="24"/>
          <w:lang w:eastAsia="en-GB"/>
        </w:rPr>
        <w:t>Platinum Jubilee Village Hall Improvement Grant Fund</w:t>
      </w:r>
      <w:r w:rsidRPr="005313D3">
        <w:rPr>
          <w:rFonts w:ascii="Tahoma" w:eastAsia="Calibri" w:hAnsi="Tahoma" w:cs="Tahoma"/>
          <w:sz w:val="24"/>
          <w:szCs w:val="24"/>
        </w:rPr>
        <w:t xml:space="preserve"> is to support the modernisation and improvement of village halls so that they are fit for purpose and can provide activities which seek to achieve one or more of the following outcomes for their communities:</w:t>
      </w:r>
    </w:p>
    <w:p w14:paraId="71FC84D2" w14:textId="77777777" w:rsidR="00DE2F02" w:rsidRPr="005313D3" w:rsidRDefault="00DE2F02" w:rsidP="005313D3">
      <w:pPr>
        <w:pStyle w:val="ListParagraph"/>
        <w:numPr>
          <w:ilvl w:val="0"/>
          <w:numId w:val="2"/>
        </w:numPr>
        <w:spacing w:after="0" w:line="240" w:lineRule="auto"/>
        <w:contextualSpacing w:val="0"/>
        <w:rPr>
          <w:rFonts w:ascii="Tahoma" w:eastAsia="Arial" w:hAnsi="Tahoma" w:cs="Tahoma"/>
          <w:color w:val="000000"/>
          <w:sz w:val="24"/>
          <w:szCs w:val="24"/>
        </w:rPr>
      </w:pPr>
      <w:r w:rsidRPr="005313D3">
        <w:rPr>
          <w:rFonts w:ascii="Tahoma" w:eastAsia="Arial" w:hAnsi="Tahoma" w:cs="Tahoma"/>
          <w:color w:val="000000"/>
          <w:sz w:val="24"/>
          <w:szCs w:val="24"/>
        </w:rPr>
        <w:t>improved health and/or wellbeing and/or reduction in rural loneliness,</w:t>
      </w:r>
    </w:p>
    <w:p w14:paraId="7F8059C1" w14:textId="77777777" w:rsidR="00DE2F02" w:rsidRPr="005313D3" w:rsidRDefault="00DE2F02" w:rsidP="005313D3">
      <w:pPr>
        <w:pStyle w:val="ListParagraph"/>
        <w:numPr>
          <w:ilvl w:val="0"/>
          <w:numId w:val="2"/>
        </w:numPr>
        <w:spacing w:after="0" w:line="240" w:lineRule="auto"/>
        <w:contextualSpacing w:val="0"/>
        <w:rPr>
          <w:rFonts w:ascii="Tahoma" w:eastAsia="Arial" w:hAnsi="Tahoma" w:cs="Tahoma"/>
          <w:color w:val="000000"/>
          <w:sz w:val="24"/>
          <w:szCs w:val="24"/>
        </w:rPr>
      </w:pPr>
      <w:r w:rsidRPr="005313D3">
        <w:rPr>
          <w:rFonts w:ascii="Tahoma" w:eastAsia="Arial" w:hAnsi="Tahoma" w:cs="Tahoma"/>
          <w:color w:val="000000"/>
          <w:sz w:val="24"/>
          <w:szCs w:val="24"/>
        </w:rPr>
        <w:t>positive impact on the local environment, contributes towards net zero,</w:t>
      </w:r>
    </w:p>
    <w:p w14:paraId="7A004FD9" w14:textId="77777777" w:rsidR="00DE2F02" w:rsidRPr="005313D3" w:rsidRDefault="00DE2F02" w:rsidP="005313D3">
      <w:pPr>
        <w:pStyle w:val="ListParagraph"/>
        <w:numPr>
          <w:ilvl w:val="0"/>
          <w:numId w:val="2"/>
        </w:numPr>
        <w:spacing w:after="0" w:line="240" w:lineRule="auto"/>
        <w:contextualSpacing w:val="0"/>
        <w:rPr>
          <w:rFonts w:ascii="Tahoma" w:eastAsia="Calibri" w:hAnsi="Tahoma" w:cs="Tahoma"/>
          <w:sz w:val="24"/>
          <w:szCs w:val="24"/>
        </w:rPr>
      </w:pPr>
      <w:r w:rsidRPr="005313D3">
        <w:rPr>
          <w:rFonts w:ascii="Tahoma" w:eastAsia="Arial" w:hAnsi="Tahoma" w:cs="Tahoma"/>
          <w:color w:val="000000"/>
          <w:sz w:val="24"/>
          <w:szCs w:val="24"/>
        </w:rPr>
        <w:t>support for the local rural economy,</w:t>
      </w:r>
    </w:p>
    <w:p w14:paraId="79043915" w14:textId="77777777" w:rsidR="00DE2F02" w:rsidRPr="005313D3" w:rsidRDefault="00DE2F02" w:rsidP="005313D3">
      <w:pPr>
        <w:pStyle w:val="ListParagraph"/>
        <w:numPr>
          <w:ilvl w:val="0"/>
          <w:numId w:val="2"/>
        </w:numPr>
        <w:spacing w:after="0" w:line="240" w:lineRule="auto"/>
        <w:contextualSpacing w:val="0"/>
        <w:rPr>
          <w:rFonts w:ascii="Tahoma" w:eastAsia="Calibri" w:hAnsi="Tahoma" w:cs="Tahoma"/>
          <w:sz w:val="24"/>
          <w:szCs w:val="24"/>
        </w:rPr>
      </w:pPr>
      <w:r w:rsidRPr="005313D3">
        <w:rPr>
          <w:rFonts w:ascii="Tahoma" w:eastAsia="Calibri" w:hAnsi="Tahoma" w:cs="Tahoma"/>
          <w:sz w:val="24"/>
          <w:szCs w:val="24"/>
        </w:rPr>
        <w:t>promotion of community cohesion.</w:t>
      </w:r>
    </w:p>
    <w:p w14:paraId="10119052" w14:textId="77777777" w:rsidR="00DE2F02" w:rsidRPr="005313D3" w:rsidRDefault="00DE2F02" w:rsidP="005313D3">
      <w:pPr>
        <w:spacing w:after="0" w:line="240" w:lineRule="auto"/>
        <w:rPr>
          <w:rFonts w:ascii="Tahoma" w:hAnsi="Tahoma" w:cs="Tahoma"/>
          <w:sz w:val="24"/>
          <w:szCs w:val="24"/>
        </w:rPr>
      </w:pPr>
    </w:p>
    <w:p w14:paraId="36F3C04D" w14:textId="086C29A8" w:rsidR="006E187D" w:rsidRPr="005313D3" w:rsidRDefault="006E187D" w:rsidP="005313D3">
      <w:pPr>
        <w:spacing w:after="0" w:line="240" w:lineRule="auto"/>
        <w:rPr>
          <w:rFonts w:ascii="Tahoma" w:hAnsi="Tahoma" w:cs="Tahoma"/>
          <w:b/>
          <w:bCs/>
          <w:sz w:val="24"/>
          <w:szCs w:val="24"/>
        </w:rPr>
      </w:pPr>
      <w:r w:rsidRPr="005313D3">
        <w:rPr>
          <w:rFonts w:ascii="Tahoma" w:hAnsi="Tahoma" w:cs="Tahoma"/>
          <w:b/>
          <w:bCs/>
          <w:sz w:val="24"/>
          <w:szCs w:val="24"/>
        </w:rPr>
        <w:t xml:space="preserve">Please check that your organisation and the project you </w:t>
      </w:r>
      <w:r w:rsidR="005313D3" w:rsidRPr="005313D3">
        <w:rPr>
          <w:rFonts w:ascii="Tahoma" w:hAnsi="Tahoma" w:cs="Tahoma"/>
          <w:b/>
          <w:bCs/>
          <w:sz w:val="24"/>
          <w:szCs w:val="24"/>
        </w:rPr>
        <w:t xml:space="preserve">are seeking funding for </w:t>
      </w:r>
      <w:r w:rsidRPr="005313D3">
        <w:rPr>
          <w:rFonts w:ascii="Tahoma" w:hAnsi="Tahoma" w:cs="Tahoma"/>
          <w:b/>
          <w:bCs/>
          <w:sz w:val="24"/>
          <w:szCs w:val="24"/>
        </w:rPr>
        <w:t xml:space="preserve">fits the following </w:t>
      </w:r>
      <w:r w:rsidR="00AB7F5C" w:rsidRPr="005313D3">
        <w:rPr>
          <w:rFonts w:ascii="Tahoma" w:hAnsi="Tahoma" w:cs="Tahoma"/>
          <w:b/>
          <w:bCs/>
          <w:sz w:val="24"/>
          <w:szCs w:val="24"/>
        </w:rPr>
        <w:t xml:space="preserve">six </w:t>
      </w:r>
      <w:r w:rsidRPr="005313D3">
        <w:rPr>
          <w:rFonts w:ascii="Tahoma" w:hAnsi="Tahoma" w:cs="Tahoma"/>
          <w:b/>
          <w:bCs/>
          <w:sz w:val="24"/>
          <w:szCs w:val="24"/>
        </w:rPr>
        <w:t>points</w:t>
      </w:r>
      <w:r w:rsidR="00491D42" w:rsidRPr="005313D3">
        <w:rPr>
          <w:rFonts w:ascii="Tahoma" w:hAnsi="Tahoma" w:cs="Tahoma"/>
          <w:b/>
          <w:bCs/>
          <w:sz w:val="24"/>
          <w:szCs w:val="24"/>
        </w:rPr>
        <w:t xml:space="preserve"> before you complete the online application.</w:t>
      </w:r>
    </w:p>
    <w:p w14:paraId="6EC13C1E" w14:textId="77777777" w:rsidR="006E187D" w:rsidRPr="005313D3" w:rsidRDefault="006E187D" w:rsidP="005313D3">
      <w:pPr>
        <w:spacing w:after="0" w:line="240" w:lineRule="auto"/>
        <w:rPr>
          <w:rFonts w:ascii="Tahoma" w:eastAsia="Calibri" w:hAnsi="Tahoma" w:cs="Tahoma"/>
          <w:sz w:val="24"/>
          <w:szCs w:val="24"/>
        </w:rPr>
      </w:pPr>
    </w:p>
    <w:p w14:paraId="79B6283F" w14:textId="77777777" w:rsidR="00AB7F5C" w:rsidRPr="005313D3" w:rsidRDefault="00873E05"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hAnsi="Tahoma" w:cs="Tahoma"/>
          <w:sz w:val="24"/>
          <w:szCs w:val="24"/>
        </w:rPr>
        <w:t>You can apply for a grant between £2,000 and £</w:t>
      </w:r>
      <w:r w:rsidR="00E672CE" w:rsidRPr="005313D3">
        <w:rPr>
          <w:rFonts w:ascii="Tahoma" w:hAnsi="Tahoma" w:cs="Tahoma"/>
          <w:sz w:val="24"/>
          <w:szCs w:val="24"/>
        </w:rPr>
        <w:t>5,000</w:t>
      </w:r>
      <w:r w:rsidRPr="005313D3">
        <w:rPr>
          <w:rFonts w:ascii="Tahoma" w:hAnsi="Tahoma" w:cs="Tahoma"/>
          <w:sz w:val="24"/>
          <w:szCs w:val="24"/>
        </w:rPr>
        <w:t xml:space="preserve"> which will be 20% of </w:t>
      </w:r>
      <w:r w:rsidR="00C74288" w:rsidRPr="005313D3">
        <w:rPr>
          <w:rFonts w:ascii="Tahoma" w:hAnsi="Tahoma" w:cs="Tahoma"/>
          <w:sz w:val="24"/>
          <w:szCs w:val="24"/>
        </w:rPr>
        <w:t xml:space="preserve">your </w:t>
      </w:r>
      <w:r w:rsidR="00BE408B" w:rsidRPr="005313D3">
        <w:rPr>
          <w:rFonts w:ascii="Tahoma" w:hAnsi="Tahoma" w:cs="Tahoma"/>
          <w:sz w:val="24"/>
          <w:szCs w:val="24"/>
          <w:u w:val="single"/>
        </w:rPr>
        <w:t>capital</w:t>
      </w:r>
      <w:r w:rsidRPr="005313D3">
        <w:rPr>
          <w:rFonts w:ascii="Tahoma" w:hAnsi="Tahoma" w:cs="Tahoma"/>
          <w:sz w:val="24"/>
          <w:szCs w:val="24"/>
        </w:rPr>
        <w:t xml:space="preserve"> project costs</w:t>
      </w:r>
      <w:r w:rsidR="00BE408B" w:rsidRPr="005313D3">
        <w:rPr>
          <w:rFonts w:ascii="Tahoma" w:hAnsi="Tahoma" w:cs="Tahoma"/>
          <w:sz w:val="24"/>
          <w:szCs w:val="24"/>
        </w:rPr>
        <w:t xml:space="preserve"> including the VAT</w:t>
      </w:r>
      <w:r w:rsidRPr="005313D3">
        <w:rPr>
          <w:rFonts w:ascii="Tahoma" w:hAnsi="Tahoma" w:cs="Tahoma"/>
          <w:sz w:val="24"/>
          <w:szCs w:val="24"/>
        </w:rPr>
        <w:t xml:space="preserve">. </w:t>
      </w:r>
      <w:r w:rsidR="00C74288" w:rsidRPr="005313D3">
        <w:rPr>
          <w:rFonts w:ascii="Tahoma" w:hAnsi="Tahoma" w:cs="Tahoma"/>
          <w:sz w:val="24"/>
          <w:szCs w:val="24"/>
        </w:rPr>
        <w:t>You must</w:t>
      </w:r>
      <w:r w:rsidR="00216B92" w:rsidRPr="005313D3">
        <w:rPr>
          <w:rFonts w:ascii="Tahoma" w:hAnsi="Tahoma" w:cs="Tahoma"/>
          <w:sz w:val="24"/>
          <w:szCs w:val="24"/>
        </w:rPr>
        <w:t xml:space="preserve"> be able to </w:t>
      </w:r>
      <w:r w:rsidR="00C74288" w:rsidRPr="005313D3">
        <w:rPr>
          <w:rFonts w:ascii="Tahoma" w:hAnsi="Tahoma" w:cs="Tahoma"/>
          <w:sz w:val="24"/>
          <w:szCs w:val="24"/>
        </w:rPr>
        <w:t xml:space="preserve">identify where the 80% </w:t>
      </w:r>
      <w:r w:rsidR="00216B92" w:rsidRPr="005313D3">
        <w:rPr>
          <w:rFonts w:ascii="Tahoma" w:hAnsi="Tahoma" w:cs="Tahoma"/>
          <w:sz w:val="24"/>
          <w:szCs w:val="24"/>
        </w:rPr>
        <w:t xml:space="preserve">is being sourced from. </w:t>
      </w:r>
      <w:r w:rsidRPr="005313D3">
        <w:rPr>
          <w:rFonts w:ascii="Tahoma" w:hAnsi="Tahoma" w:cs="Tahoma"/>
          <w:sz w:val="24"/>
          <w:szCs w:val="24"/>
        </w:rPr>
        <w:t xml:space="preserve">There is no upper limit for the total </w:t>
      </w:r>
      <w:r w:rsidR="0041645B" w:rsidRPr="005313D3">
        <w:rPr>
          <w:rFonts w:ascii="Tahoma" w:hAnsi="Tahoma" w:cs="Tahoma"/>
          <w:sz w:val="24"/>
          <w:szCs w:val="24"/>
        </w:rPr>
        <w:t>capital</w:t>
      </w:r>
      <w:r w:rsidRPr="005313D3">
        <w:rPr>
          <w:rFonts w:ascii="Tahoma" w:hAnsi="Tahoma" w:cs="Tahoma"/>
          <w:sz w:val="24"/>
          <w:szCs w:val="24"/>
        </w:rPr>
        <w:t xml:space="preserve"> costs</w:t>
      </w:r>
      <w:r w:rsidR="00216B92" w:rsidRPr="005313D3">
        <w:rPr>
          <w:rFonts w:ascii="Tahoma" w:hAnsi="Tahoma" w:cs="Tahoma"/>
          <w:sz w:val="24"/>
          <w:szCs w:val="24"/>
        </w:rPr>
        <w:t>,</w:t>
      </w:r>
      <w:r w:rsidRPr="005313D3">
        <w:rPr>
          <w:rFonts w:ascii="Tahoma" w:hAnsi="Tahoma" w:cs="Tahoma"/>
          <w:sz w:val="24"/>
          <w:szCs w:val="24"/>
        </w:rPr>
        <w:t xml:space="preserve"> but you can only receive a maximum grant of £</w:t>
      </w:r>
      <w:r w:rsidR="00E672CE" w:rsidRPr="005313D3">
        <w:rPr>
          <w:rFonts w:ascii="Tahoma" w:hAnsi="Tahoma" w:cs="Tahoma"/>
          <w:sz w:val="24"/>
          <w:szCs w:val="24"/>
        </w:rPr>
        <w:t>5,000</w:t>
      </w:r>
      <w:r w:rsidRPr="005313D3">
        <w:rPr>
          <w:rFonts w:ascii="Tahoma" w:hAnsi="Tahoma" w:cs="Tahoma"/>
          <w:sz w:val="24"/>
          <w:szCs w:val="24"/>
        </w:rPr>
        <w:t>.</w:t>
      </w:r>
      <w:r w:rsidR="008B35F1" w:rsidRPr="005313D3">
        <w:rPr>
          <w:rFonts w:ascii="Tahoma" w:hAnsi="Tahoma" w:cs="Tahoma"/>
          <w:sz w:val="24"/>
          <w:szCs w:val="24"/>
        </w:rPr>
        <w:t xml:space="preserve"> Smaller projects will be prioritised</w:t>
      </w:r>
      <w:r w:rsidR="00AB7F5C" w:rsidRPr="005313D3">
        <w:rPr>
          <w:rFonts w:ascii="Tahoma" w:hAnsi="Tahoma" w:cs="Tahoma"/>
          <w:sz w:val="24"/>
          <w:szCs w:val="24"/>
        </w:rPr>
        <w:t>.</w:t>
      </w:r>
    </w:p>
    <w:p w14:paraId="1C7DBFFE" w14:textId="77777777" w:rsidR="00AB7F5C" w:rsidRPr="005313D3" w:rsidRDefault="00AB7F5C" w:rsidP="005313D3">
      <w:pPr>
        <w:pStyle w:val="ListParagraph"/>
        <w:spacing w:after="0" w:line="240" w:lineRule="auto"/>
        <w:ind w:left="360"/>
        <w:contextualSpacing w:val="0"/>
        <w:rPr>
          <w:rFonts w:ascii="Tahoma" w:hAnsi="Tahoma" w:cs="Tahoma"/>
          <w:sz w:val="24"/>
          <w:szCs w:val="24"/>
        </w:rPr>
      </w:pPr>
    </w:p>
    <w:p w14:paraId="1AE8EA68" w14:textId="7EAF0C74" w:rsidR="00AB7F5C" w:rsidRPr="005313D3" w:rsidRDefault="00BD006C" w:rsidP="005313D3">
      <w:pPr>
        <w:pStyle w:val="ListParagraph"/>
        <w:spacing w:after="0" w:line="240" w:lineRule="auto"/>
        <w:ind w:left="360"/>
        <w:contextualSpacing w:val="0"/>
        <w:rPr>
          <w:rFonts w:ascii="Tahoma" w:hAnsi="Tahoma" w:cs="Tahoma"/>
          <w:sz w:val="24"/>
          <w:szCs w:val="24"/>
        </w:rPr>
      </w:pPr>
      <w:r w:rsidRPr="005313D3">
        <w:rPr>
          <w:rFonts w:ascii="Tahoma" w:hAnsi="Tahoma" w:cs="Tahoma"/>
          <w:sz w:val="24"/>
          <w:szCs w:val="24"/>
        </w:rPr>
        <w:t>Do not include VAT on eligible capital works</w:t>
      </w:r>
      <w:r w:rsidR="007C752D" w:rsidRPr="005313D3">
        <w:rPr>
          <w:rFonts w:ascii="Tahoma" w:hAnsi="Tahoma" w:cs="Tahoma"/>
          <w:sz w:val="24"/>
          <w:szCs w:val="24"/>
        </w:rPr>
        <w:t xml:space="preserve"> if you are able to reclaim the VAT, equipment and fittings</w:t>
      </w:r>
      <w:r w:rsidR="00D07867" w:rsidRPr="005313D3">
        <w:rPr>
          <w:rFonts w:ascii="Tahoma" w:hAnsi="Tahoma" w:cs="Tahoma"/>
          <w:sz w:val="24"/>
          <w:szCs w:val="24"/>
        </w:rPr>
        <w:t>, contingency and fees (planning, building regulations, legal costs)</w:t>
      </w:r>
      <w:r w:rsidR="00014213" w:rsidRPr="005313D3">
        <w:rPr>
          <w:rFonts w:ascii="Tahoma" w:hAnsi="Tahoma" w:cs="Tahoma"/>
          <w:sz w:val="24"/>
          <w:szCs w:val="24"/>
        </w:rPr>
        <w:t>.</w:t>
      </w:r>
    </w:p>
    <w:p w14:paraId="3FCDF16F" w14:textId="77777777" w:rsidR="00AB7F5C" w:rsidRPr="005313D3" w:rsidRDefault="00AB7F5C" w:rsidP="005313D3">
      <w:pPr>
        <w:pStyle w:val="ListParagraph"/>
        <w:spacing w:after="0" w:line="240" w:lineRule="auto"/>
        <w:ind w:left="360"/>
        <w:contextualSpacing w:val="0"/>
        <w:rPr>
          <w:rFonts w:ascii="Tahoma" w:hAnsi="Tahoma" w:cs="Tahoma"/>
          <w:sz w:val="24"/>
          <w:szCs w:val="24"/>
        </w:rPr>
      </w:pPr>
    </w:p>
    <w:p w14:paraId="5CCDE517" w14:textId="1F3B44DF" w:rsidR="00AB7F5C" w:rsidRPr="005313D3" w:rsidRDefault="00432FE7" w:rsidP="005313D3">
      <w:pPr>
        <w:pStyle w:val="ListParagraph"/>
        <w:spacing w:after="0" w:line="240" w:lineRule="auto"/>
        <w:ind w:left="360"/>
        <w:contextualSpacing w:val="0"/>
        <w:rPr>
          <w:rFonts w:ascii="Tahoma" w:hAnsi="Tahoma" w:cs="Tahoma"/>
          <w:sz w:val="24"/>
          <w:szCs w:val="24"/>
        </w:rPr>
      </w:pPr>
      <w:r w:rsidRPr="005313D3">
        <w:rPr>
          <w:rFonts w:ascii="Tahoma" w:hAnsi="Tahoma" w:cs="Tahoma"/>
          <w:sz w:val="24"/>
          <w:szCs w:val="24"/>
        </w:rPr>
        <w:t>See the FAQs for more information.</w:t>
      </w:r>
    </w:p>
    <w:p w14:paraId="15412181" w14:textId="77777777" w:rsidR="00AB7F5C" w:rsidRPr="005313D3" w:rsidRDefault="00AB7F5C" w:rsidP="005313D3">
      <w:pPr>
        <w:pStyle w:val="ListParagraph"/>
        <w:spacing w:after="0" w:line="240" w:lineRule="auto"/>
        <w:ind w:left="360"/>
        <w:contextualSpacing w:val="0"/>
        <w:rPr>
          <w:rFonts w:ascii="Tahoma" w:hAnsi="Tahoma" w:cs="Tahoma"/>
          <w:sz w:val="24"/>
          <w:szCs w:val="24"/>
        </w:rPr>
      </w:pPr>
    </w:p>
    <w:p w14:paraId="41AC7158" w14:textId="77777777" w:rsidR="00AB7F5C" w:rsidRPr="005313D3" w:rsidRDefault="00390191"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eastAsia="Calibri" w:hAnsi="Tahoma" w:cs="Tahoma"/>
          <w:sz w:val="24"/>
          <w:lang w:eastAsia="en-GB"/>
        </w:rPr>
        <w:t xml:space="preserve">The Fund shall be available to support </w:t>
      </w:r>
      <w:r w:rsidRPr="005313D3">
        <w:rPr>
          <w:rFonts w:ascii="Tahoma" w:eastAsia="Calibri" w:hAnsi="Tahoma" w:cs="Tahoma"/>
          <w:b/>
          <w:bCs/>
          <w:sz w:val="24"/>
          <w:u w:val="single"/>
          <w:lang w:eastAsia="en-GB"/>
        </w:rPr>
        <w:t>capital improvements only</w:t>
      </w:r>
      <w:r w:rsidRPr="005313D3">
        <w:rPr>
          <w:rFonts w:ascii="Tahoma" w:eastAsia="Calibri" w:hAnsi="Tahoma" w:cs="Tahoma"/>
          <w:sz w:val="24"/>
          <w:lang w:eastAsia="en-GB"/>
        </w:rPr>
        <w:t>, where projects aim to:</w:t>
      </w:r>
    </w:p>
    <w:p w14:paraId="421EAD2B" w14:textId="77777777" w:rsidR="00AB7F5C" w:rsidRPr="005313D3" w:rsidRDefault="00390191" w:rsidP="005313D3">
      <w:pPr>
        <w:pStyle w:val="ListParagraph"/>
        <w:numPr>
          <w:ilvl w:val="0"/>
          <w:numId w:val="22"/>
        </w:numPr>
        <w:spacing w:after="0" w:line="240" w:lineRule="auto"/>
        <w:contextualSpacing w:val="0"/>
        <w:rPr>
          <w:rFonts w:ascii="Tahoma" w:hAnsi="Tahoma" w:cs="Tahoma"/>
          <w:sz w:val="24"/>
          <w:szCs w:val="24"/>
        </w:rPr>
      </w:pPr>
      <w:r w:rsidRPr="005313D3">
        <w:rPr>
          <w:rFonts w:ascii="Tahoma" w:eastAsia="Calibri" w:hAnsi="Tahoma" w:cs="Tahoma"/>
          <w:sz w:val="24"/>
        </w:rPr>
        <w:t>Upgrade facilities</w:t>
      </w:r>
    </w:p>
    <w:p w14:paraId="7391572A" w14:textId="77777777" w:rsidR="00AB7F5C" w:rsidRPr="005313D3" w:rsidRDefault="00390191" w:rsidP="005313D3">
      <w:pPr>
        <w:pStyle w:val="ListParagraph"/>
        <w:numPr>
          <w:ilvl w:val="0"/>
          <w:numId w:val="22"/>
        </w:numPr>
        <w:spacing w:after="0" w:line="240" w:lineRule="auto"/>
        <w:contextualSpacing w:val="0"/>
        <w:rPr>
          <w:rFonts w:ascii="Tahoma" w:hAnsi="Tahoma" w:cs="Tahoma"/>
          <w:sz w:val="24"/>
          <w:szCs w:val="24"/>
        </w:rPr>
      </w:pPr>
      <w:r w:rsidRPr="005313D3">
        <w:rPr>
          <w:rFonts w:ascii="Tahoma" w:eastAsia="Calibri" w:hAnsi="Tahoma" w:cs="Tahoma"/>
          <w:sz w:val="24"/>
        </w:rPr>
        <w:t>Extend facilities</w:t>
      </w:r>
    </w:p>
    <w:p w14:paraId="2ADDEF4D" w14:textId="77777777" w:rsidR="00AB7F5C" w:rsidRPr="005313D3" w:rsidRDefault="00390191" w:rsidP="005313D3">
      <w:pPr>
        <w:pStyle w:val="ListParagraph"/>
        <w:numPr>
          <w:ilvl w:val="0"/>
          <w:numId w:val="22"/>
        </w:numPr>
        <w:spacing w:after="0" w:line="240" w:lineRule="auto"/>
        <w:contextualSpacing w:val="0"/>
        <w:rPr>
          <w:rFonts w:ascii="Tahoma" w:hAnsi="Tahoma" w:cs="Tahoma"/>
          <w:sz w:val="24"/>
          <w:szCs w:val="24"/>
        </w:rPr>
      </w:pPr>
      <w:r w:rsidRPr="005313D3">
        <w:rPr>
          <w:rFonts w:ascii="Tahoma" w:eastAsia="Calibri" w:hAnsi="Tahoma" w:cs="Tahoma"/>
          <w:sz w:val="24"/>
        </w:rPr>
        <w:t>Improve facilities</w:t>
      </w:r>
    </w:p>
    <w:p w14:paraId="1CE5C3ED" w14:textId="77777777" w:rsidR="00AB7F5C" w:rsidRPr="005313D3" w:rsidRDefault="00390191" w:rsidP="005313D3">
      <w:pPr>
        <w:pStyle w:val="ListParagraph"/>
        <w:numPr>
          <w:ilvl w:val="0"/>
          <w:numId w:val="22"/>
        </w:numPr>
        <w:spacing w:after="0" w:line="240" w:lineRule="auto"/>
        <w:contextualSpacing w:val="0"/>
        <w:rPr>
          <w:rFonts w:ascii="Tahoma" w:hAnsi="Tahoma" w:cs="Tahoma"/>
          <w:sz w:val="24"/>
          <w:szCs w:val="24"/>
        </w:rPr>
      </w:pPr>
      <w:r w:rsidRPr="005313D3">
        <w:rPr>
          <w:rFonts w:ascii="Tahoma" w:eastAsia="Calibri" w:hAnsi="Tahoma" w:cs="Tahoma"/>
          <w:sz w:val="24"/>
        </w:rPr>
        <w:t>Purchase capital item</w:t>
      </w:r>
      <w:r w:rsidR="00AB7F5C" w:rsidRPr="005313D3">
        <w:rPr>
          <w:rFonts w:ascii="Tahoma" w:eastAsia="Calibri" w:hAnsi="Tahoma" w:cs="Tahoma"/>
          <w:sz w:val="24"/>
        </w:rPr>
        <w:t>s</w:t>
      </w:r>
    </w:p>
    <w:p w14:paraId="191885C7" w14:textId="77777777" w:rsidR="00DE2F02" w:rsidRPr="005313D3" w:rsidRDefault="00DE2F02" w:rsidP="005313D3">
      <w:pPr>
        <w:pStyle w:val="ListParagraph"/>
        <w:spacing w:after="0" w:line="240" w:lineRule="auto"/>
        <w:ind w:left="360"/>
        <w:contextualSpacing w:val="0"/>
        <w:rPr>
          <w:rFonts w:ascii="Tahoma" w:eastAsia="Calibri" w:hAnsi="Tahoma" w:cs="Tahoma"/>
          <w:sz w:val="24"/>
          <w:lang w:eastAsia="en-GB"/>
        </w:rPr>
      </w:pPr>
    </w:p>
    <w:p w14:paraId="08F27B86" w14:textId="59DD47CE" w:rsidR="00DE2F02" w:rsidRPr="005313D3" w:rsidRDefault="00390191" w:rsidP="005313D3">
      <w:pPr>
        <w:pStyle w:val="ListParagraph"/>
        <w:spacing w:after="0" w:line="240" w:lineRule="auto"/>
        <w:ind w:left="360"/>
        <w:contextualSpacing w:val="0"/>
        <w:rPr>
          <w:rFonts w:ascii="Tahoma" w:hAnsi="Tahoma" w:cs="Tahoma"/>
          <w:sz w:val="24"/>
          <w:szCs w:val="24"/>
        </w:rPr>
      </w:pPr>
      <w:r w:rsidRPr="005313D3">
        <w:rPr>
          <w:rFonts w:ascii="Tahoma" w:eastAsia="Calibri" w:hAnsi="Tahoma" w:cs="Tahoma"/>
          <w:sz w:val="24"/>
          <w:lang w:eastAsia="en-GB"/>
        </w:rPr>
        <w:t xml:space="preserve">The Fund </w:t>
      </w:r>
      <w:r w:rsidRPr="005313D3">
        <w:rPr>
          <w:rFonts w:ascii="Tahoma" w:eastAsia="Calibri" w:hAnsi="Tahoma" w:cs="Tahoma"/>
          <w:b/>
          <w:bCs/>
          <w:sz w:val="24"/>
          <w:u w:val="single"/>
          <w:lang w:eastAsia="en-GB"/>
        </w:rPr>
        <w:t>shall not</w:t>
      </w:r>
      <w:r w:rsidRPr="005313D3">
        <w:rPr>
          <w:rFonts w:ascii="Tahoma" w:eastAsia="Calibri" w:hAnsi="Tahoma" w:cs="Tahoma"/>
          <w:sz w:val="24"/>
          <w:lang w:eastAsia="en-GB"/>
        </w:rPr>
        <w:t xml:space="preserve"> be available for projects that solely seek to:</w:t>
      </w:r>
    </w:p>
    <w:p w14:paraId="0789FC92" w14:textId="77777777" w:rsidR="00DE2F02" w:rsidRPr="005313D3" w:rsidRDefault="00390191" w:rsidP="005313D3">
      <w:pPr>
        <w:pStyle w:val="ListParagraph"/>
        <w:numPr>
          <w:ilvl w:val="0"/>
          <w:numId w:val="23"/>
        </w:numPr>
        <w:spacing w:after="0" w:line="240" w:lineRule="auto"/>
        <w:contextualSpacing w:val="0"/>
        <w:rPr>
          <w:rFonts w:ascii="Tahoma" w:hAnsi="Tahoma" w:cs="Tahoma"/>
          <w:sz w:val="24"/>
          <w:szCs w:val="24"/>
        </w:rPr>
      </w:pPr>
      <w:r w:rsidRPr="005313D3">
        <w:rPr>
          <w:rFonts w:ascii="Tahoma" w:eastAsia="Calibri" w:hAnsi="Tahoma" w:cs="Tahoma"/>
          <w:sz w:val="24"/>
          <w:lang w:eastAsia="en-GB"/>
        </w:rPr>
        <w:t>Repair</w:t>
      </w:r>
    </w:p>
    <w:p w14:paraId="4750456B" w14:textId="77777777" w:rsidR="00DE2F02" w:rsidRPr="005313D3" w:rsidRDefault="00390191" w:rsidP="005313D3">
      <w:pPr>
        <w:pStyle w:val="ListParagraph"/>
        <w:numPr>
          <w:ilvl w:val="0"/>
          <w:numId w:val="23"/>
        </w:numPr>
        <w:spacing w:after="0" w:line="240" w:lineRule="auto"/>
        <w:contextualSpacing w:val="0"/>
        <w:rPr>
          <w:rFonts w:ascii="Tahoma" w:hAnsi="Tahoma" w:cs="Tahoma"/>
          <w:sz w:val="24"/>
          <w:szCs w:val="24"/>
        </w:rPr>
      </w:pPr>
      <w:r w:rsidRPr="005313D3">
        <w:rPr>
          <w:rFonts w:ascii="Tahoma" w:eastAsia="Calibri" w:hAnsi="Tahoma" w:cs="Tahoma"/>
          <w:sz w:val="24"/>
          <w:lang w:eastAsia="en-GB"/>
        </w:rPr>
        <w:t>Maintain</w:t>
      </w:r>
    </w:p>
    <w:p w14:paraId="3460E014" w14:textId="77777777" w:rsidR="00DE2F02" w:rsidRPr="005313D3" w:rsidRDefault="00390191" w:rsidP="005313D3">
      <w:pPr>
        <w:pStyle w:val="ListParagraph"/>
        <w:numPr>
          <w:ilvl w:val="0"/>
          <w:numId w:val="23"/>
        </w:numPr>
        <w:spacing w:after="0" w:line="240" w:lineRule="auto"/>
        <w:contextualSpacing w:val="0"/>
        <w:rPr>
          <w:rFonts w:ascii="Tahoma" w:hAnsi="Tahoma" w:cs="Tahoma"/>
          <w:sz w:val="24"/>
          <w:szCs w:val="24"/>
        </w:rPr>
      </w:pPr>
      <w:r w:rsidRPr="005313D3">
        <w:rPr>
          <w:rFonts w:ascii="Tahoma" w:eastAsia="Calibri" w:hAnsi="Tahoma" w:cs="Tahoma"/>
          <w:sz w:val="24"/>
          <w:lang w:eastAsia="en-GB"/>
        </w:rPr>
        <w:t>Renew</w:t>
      </w:r>
    </w:p>
    <w:p w14:paraId="0C0132B5" w14:textId="77777777" w:rsidR="00DE2F02" w:rsidRPr="005313D3" w:rsidRDefault="00DE2F02" w:rsidP="005313D3">
      <w:pPr>
        <w:pStyle w:val="ListParagraph"/>
        <w:spacing w:after="0" w:line="240" w:lineRule="auto"/>
        <w:ind w:left="360"/>
        <w:contextualSpacing w:val="0"/>
        <w:rPr>
          <w:rFonts w:ascii="Tahoma" w:eastAsia="Calibri" w:hAnsi="Tahoma" w:cs="Tahoma"/>
          <w:b/>
          <w:bCs/>
          <w:sz w:val="24"/>
          <w:lang w:eastAsia="en-GB"/>
        </w:rPr>
      </w:pPr>
    </w:p>
    <w:p w14:paraId="49887202" w14:textId="1631B533" w:rsidR="00DE2F02" w:rsidRPr="005313D3" w:rsidRDefault="00973DA5" w:rsidP="005313D3">
      <w:pPr>
        <w:pStyle w:val="ListParagraph"/>
        <w:spacing w:after="0" w:line="240" w:lineRule="auto"/>
        <w:ind w:left="360"/>
        <w:contextualSpacing w:val="0"/>
        <w:rPr>
          <w:rFonts w:ascii="Tahoma" w:hAnsi="Tahoma" w:cs="Tahoma"/>
          <w:sz w:val="24"/>
          <w:szCs w:val="24"/>
        </w:rPr>
      </w:pPr>
      <w:r w:rsidRPr="005313D3">
        <w:rPr>
          <w:rFonts w:ascii="Tahoma" w:eastAsia="Calibri" w:hAnsi="Tahoma" w:cs="Tahoma"/>
          <w:b/>
          <w:bCs/>
          <w:sz w:val="24"/>
          <w:lang w:eastAsia="en-GB"/>
        </w:rPr>
        <w:t>Examples</w:t>
      </w:r>
    </w:p>
    <w:p w14:paraId="5102D319" w14:textId="3153A869" w:rsidR="00DE2F02" w:rsidRPr="005313D3" w:rsidRDefault="00973DA5" w:rsidP="005313D3">
      <w:pPr>
        <w:pStyle w:val="ListParagraph"/>
        <w:spacing w:after="0" w:line="240" w:lineRule="auto"/>
        <w:ind w:left="360"/>
        <w:contextualSpacing w:val="0"/>
        <w:rPr>
          <w:rFonts w:ascii="Tahoma" w:hAnsi="Tahoma" w:cs="Tahoma"/>
          <w:sz w:val="24"/>
          <w:szCs w:val="24"/>
        </w:rPr>
      </w:pPr>
      <w:r w:rsidRPr="005313D3">
        <w:rPr>
          <w:rFonts w:ascii="Tahoma" w:hAnsi="Tahoma" w:cs="Tahoma"/>
          <w:sz w:val="24"/>
          <w:szCs w:val="24"/>
          <w:lang w:eastAsia="en-GB"/>
        </w:rPr>
        <w:t xml:space="preserve">The following are examples of projects that would be considered </w:t>
      </w:r>
      <w:r w:rsidR="00DE2F02" w:rsidRPr="005313D3">
        <w:rPr>
          <w:rFonts w:ascii="Tahoma" w:hAnsi="Tahoma" w:cs="Tahoma"/>
          <w:b/>
          <w:bCs/>
          <w:sz w:val="24"/>
          <w:szCs w:val="24"/>
          <w:u w:val="single"/>
          <w:lang w:eastAsia="en-GB"/>
        </w:rPr>
        <w:t>in</w:t>
      </w:r>
      <w:r w:rsidRPr="005313D3">
        <w:rPr>
          <w:rFonts w:ascii="Tahoma" w:hAnsi="Tahoma" w:cs="Tahoma"/>
          <w:b/>
          <w:bCs/>
          <w:sz w:val="24"/>
          <w:szCs w:val="24"/>
          <w:u w:val="single"/>
          <w:lang w:eastAsia="en-GB"/>
        </w:rPr>
        <w:t>eligible</w:t>
      </w:r>
      <w:r w:rsidRPr="005313D3">
        <w:rPr>
          <w:rFonts w:ascii="Tahoma" w:hAnsi="Tahoma" w:cs="Tahoma"/>
          <w:sz w:val="24"/>
          <w:szCs w:val="24"/>
          <w:lang w:eastAsia="en-GB"/>
        </w:rPr>
        <w:t xml:space="preserve"> (it is not an exhaustive list):</w:t>
      </w:r>
    </w:p>
    <w:p w14:paraId="15896B0B"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Building projects which have already started</w:t>
      </w:r>
      <w:r w:rsidR="006E187D" w:rsidRPr="005313D3">
        <w:rPr>
          <w:rFonts w:ascii="Tahoma" w:hAnsi="Tahoma" w:cs="Tahoma"/>
          <w:sz w:val="24"/>
          <w:szCs w:val="24"/>
          <w:lang w:eastAsia="en-GB"/>
        </w:rPr>
        <w:t>.</w:t>
      </w:r>
    </w:p>
    <w:p w14:paraId="718CF708"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New build village halls</w:t>
      </w:r>
      <w:r w:rsidR="006E187D" w:rsidRPr="005313D3">
        <w:rPr>
          <w:rFonts w:ascii="Tahoma" w:hAnsi="Tahoma" w:cs="Tahoma"/>
          <w:sz w:val="24"/>
          <w:szCs w:val="24"/>
          <w:lang w:eastAsia="en-GB"/>
        </w:rPr>
        <w:t>.</w:t>
      </w:r>
    </w:p>
    <w:p w14:paraId="38C9F33A"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lastRenderedPageBreak/>
        <w:t>Work that is undertaken solely to ensure compliance with Disability Discrimination Act (DDA) requirements.</w:t>
      </w:r>
    </w:p>
    <w:p w14:paraId="3EE9D74B"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Routine maintenance, defined as simple, small-scale activities (usually requiring only minimal skills or training) associated with regular and general (daily, weekly, monthly) upkeep of a building, or equipment, machine, plant, or system against normal wear and tear.</w:t>
      </w:r>
    </w:p>
    <w:p w14:paraId="4C87F435"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Improvements to car parks, parking areas, adjacent recreational areas, and landscaping.</w:t>
      </w:r>
    </w:p>
    <w:p w14:paraId="38B8BC9E" w14:textId="7170A240"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 xml:space="preserve">Capital expenditure which is not to do with the physical improvement of the hall </w:t>
      </w:r>
      <w:r w:rsidR="00DE2F02" w:rsidRPr="005313D3">
        <w:rPr>
          <w:rFonts w:ascii="Tahoma" w:hAnsi="Tahoma" w:cs="Tahoma"/>
          <w:sz w:val="24"/>
          <w:szCs w:val="24"/>
          <w:lang w:eastAsia="en-GB"/>
        </w:rPr>
        <w:t>.</w:t>
      </w:r>
    </w:p>
    <w:p w14:paraId="243E953B" w14:textId="77777777" w:rsidR="00DE2F02"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Architects, surveyors and specialist survey fees.</w:t>
      </w:r>
    </w:p>
    <w:p w14:paraId="0EDF66A8" w14:textId="77777777" w:rsidR="005313D3" w:rsidRPr="005313D3" w:rsidRDefault="00973DA5" w:rsidP="005313D3">
      <w:pPr>
        <w:pStyle w:val="ListParagraph"/>
        <w:numPr>
          <w:ilvl w:val="0"/>
          <w:numId w:val="24"/>
        </w:numPr>
        <w:spacing w:after="0" w:line="240" w:lineRule="auto"/>
        <w:contextualSpacing w:val="0"/>
        <w:rPr>
          <w:rFonts w:ascii="Tahoma" w:hAnsi="Tahoma" w:cs="Tahoma"/>
          <w:sz w:val="24"/>
          <w:szCs w:val="24"/>
        </w:rPr>
      </w:pPr>
      <w:r w:rsidRPr="005313D3">
        <w:rPr>
          <w:rFonts w:ascii="Tahoma" w:hAnsi="Tahoma" w:cs="Tahoma"/>
          <w:sz w:val="24"/>
          <w:szCs w:val="24"/>
          <w:lang w:eastAsia="en-GB"/>
        </w:rPr>
        <w:t>Costs for feasibility studies or planning applications or project managers’ fees.</w:t>
      </w:r>
    </w:p>
    <w:p w14:paraId="59A86CEF" w14:textId="77777777" w:rsidR="00DE2F02" w:rsidRPr="005313D3" w:rsidRDefault="00DE2F02" w:rsidP="005313D3">
      <w:pPr>
        <w:pStyle w:val="ListParagraph"/>
        <w:spacing w:after="0" w:line="240" w:lineRule="auto"/>
        <w:ind w:left="360"/>
        <w:contextualSpacing w:val="0"/>
        <w:rPr>
          <w:rFonts w:ascii="Tahoma" w:hAnsi="Tahoma" w:cs="Tahoma"/>
          <w:sz w:val="24"/>
          <w:szCs w:val="24"/>
        </w:rPr>
      </w:pPr>
    </w:p>
    <w:p w14:paraId="4454B9DB" w14:textId="77777777" w:rsidR="005313D3" w:rsidRPr="005313D3" w:rsidRDefault="005313D3"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hAnsi="Tahoma" w:cs="Tahoma"/>
          <w:sz w:val="24"/>
          <w:szCs w:val="24"/>
        </w:rPr>
        <w:t>Grants will not be available where hall committees received a grant from the Village Hall Improvement Grant Fund or the Platinum Jubilee Village Halls Fund.</w:t>
      </w:r>
    </w:p>
    <w:p w14:paraId="2F468B62" w14:textId="77777777" w:rsidR="005313D3" w:rsidRPr="005313D3" w:rsidRDefault="005313D3" w:rsidP="005313D3">
      <w:pPr>
        <w:pStyle w:val="ListParagraph"/>
        <w:spacing w:after="0" w:line="240" w:lineRule="auto"/>
        <w:ind w:left="360"/>
        <w:contextualSpacing w:val="0"/>
        <w:rPr>
          <w:rFonts w:ascii="Tahoma" w:hAnsi="Tahoma" w:cs="Tahoma"/>
          <w:sz w:val="24"/>
          <w:szCs w:val="24"/>
        </w:rPr>
      </w:pPr>
    </w:p>
    <w:p w14:paraId="4DC2D936" w14:textId="405DF688" w:rsidR="00DE2F02" w:rsidRPr="005313D3" w:rsidRDefault="005313D3"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eastAsia="Calibri" w:hAnsi="Tahoma" w:cs="Tahoma"/>
          <w:sz w:val="24"/>
          <w:lang w:eastAsia="en-GB"/>
        </w:rPr>
        <w:t>Y</w:t>
      </w:r>
      <w:r w:rsidR="00390191" w:rsidRPr="005313D3">
        <w:rPr>
          <w:rFonts w:ascii="Tahoma" w:eastAsia="Calibri" w:hAnsi="Tahoma" w:cs="Tahoma"/>
          <w:sz w:val="24"/>
          <w:lang w:eastAsia="en-GB"/>
        </w:rPr>
        <w:t>our village hall must be a charity owned and managed by the community. The town or village in which it is situated must have a population of 10,000 or less.</w:t>
      </w:r>
    </w:p>
    <w:p w14:paraId="57C539DF" w14:textId="77777777" w:rsidR="00DE2F02" w:rsidRPr="005313D3" w:rsidRDefault="00DE2F02" w:rsidP="005313D3">
      <w:pPr>
        <w:pStyle w:val="ListParagraph"/>
        <w:spacing w:after="0" w:line="240" w:lineRule="auto"/>
        <w:ind w:left="360"/>
        <w:contextualSpacing w:val="0"/>
        <w:rPr>
          <w:rFonts w:ascii="Tahoma" w:hAnsi="Tahoma" w:cs="Tahoma"/>
          <w:sz w:val="24"/>
          <w:szCs w:val="24"/>
        </w:rPr>
      </w:pPr>
    </w:p>
    <w:p w14:paraId="731D93FD" w14:textId="77777777" w:rsidR="00DE2F02" w:rsidRPr="005313D3" w:rsidRDefault="00390191"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hAnsi="Tahoma" w:cs="Tahoma"/>
          <w:sz w:val="24"/>
          <w:szCs w:val="24"/>
          <w:lang w:eastAsia="en-GB"/>
        </w:rPr>
        <w:t xml:space="preserve">The following legal entities </w:t>
      </w:r>
      <w:r w:rsidRPr="005313D3">
        <w:rPr>
          <w:rFonts w:ascii="Tahoma" w:hAnsi="Tahoma" w:cs="Tahoma"/>
          <w:b/>
          <w:bCs/>
          <w:sz w:val="24"/>
          <w:szCs w:val="24"/>
          <w:u w:val="single"/>
          <w:lang w:eastAsia="en-GB"/>
        </w:rPr>
        <w:t>will be eligible</w:t>
      </w:r>
      <w:r w:rsidRPr="005313D3">
        <w:rPr>
          <w:rFonts w:ascii="Tahoma" w:hAnsi="Tahoma" w:cs="Tahoma"/>
          <w:b/>
          <w:bCs/>
          <w:sz w:val="24"/>
          <w:szCs w:val="24"/>
          <w:lang w:eastAsia="en-GB"/>
        </w:rPr>
        <w:t xml:space="preserve"> </w:t>
      </w:r>
      <w:r w:rsidRPr="005313D3">
        <w:rPr>
          <w:rFonts w:ascii="Tahoma" w:hAnsi="Tahoma" w:cs="Tahoma"/>
          <w:sz w:val="24"/>
          <w:szCs w:val="24"/>
          <w:lang w:eastAsia="en-GB"/>
        </w:rPr>
        <w:t>to apply for a grant from the Fund:</w:t>
      </w:r>
    </w:p>
    <w:p w14:paraId="288AD83E"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Registered Charities</w:t>
      </w:r>
    </w:p>
    <w:p w14:paraId="33B1B074"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Charitable Trusts</w:t>
      </w:r>
    </w:p>
    <w:p w14:paraId="0531532A"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Charitable Incorporated Organisations</w:t>
      </w:r>
    </w:p>
    <w:p w14:paraId="2CFB8131"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Community Associations which are registered Charities</w:t>
      </w:r>
    </w:p>
    <w:p w14:paraId="0DD208A6"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Multi-purpose Church Halls, Scout and Guide buildings are also eligible where they are open for the whole community, there is no alternative village hall in the vicinity, they are not single use and they are clearly advertised as multi- purpose.</w:t>
      </w:r>
    </w:p>
    <w:p w14:paraId="0555C749" w14:textId="77777777" w:rsidR="00DE2F02" w:rsidRPr="005313D3" w:rsidRDefault="00390191" w:rsidP="005313D3">
      <w:pPr>
        <w:pStyle w:val="ListParagraph"/>
        <w:numPr>
          <w:ilvl w:val="0"/>
          <w:numId w:val="25"/>
        </w:numPr>
        <w:spacing w:after="0" w:line="240" w:lineRule="auto"/>
        <w:contextualSpacing w:val="0"/>
        <w:rPr>
          <w:rFonts w:ascii="Tahoma" w:hAnsi="Tahoma" w:cs="Tahoma"/>
          <w:sz w:val="24"/>
          <w:szCs w:val="24"/>
        </w:rPr>
      </w:pPr>
      <w:r w:rsidRPr="005313D3">
        <w:rPr>
          <w:rFonts w:ascii="Tahoma" w:hAnsi="Tahoma" w:cs="Tahoma"/>
          <w:sz w:val="24"/>
          <w:szCs w:val="24"/>
          <w:lang w:eastAsia="en-GB"/>
        </w:rPr>
        <w:t>Charitable Companies</w:t>
      </w:r>
    </w:p>
    <w:p w14:paraId="791196F5" w14:textId="77777777" w:rsidR="00DE2F02" w:rsidRPr="005313D3" w:rsidRDefault="00DE2F02" w:rsidP="005313D3">
      <w:pPr>
        <w:pStyle w:val="ListParagraph"/>
        <w:spacing w:after="0" w:line="240" w:lineRule="auto"/>
        <w:ind w:left="360"/>
        <w:contextualSpacing w:val="0"/>
        <w:rPr>
          <w:rFonts w:ascii="Tahoma" w:hAnsi="Tahoma" w:cs="Tahoma"/>
          <w:sz w:val="24"/>
          <w:szCs w:val="24"/>
          <w:lang w:eastAsia="en-GB"/>
        </w:rPr>
      </w:pPr>
    </w:p>
    <w:p w14:paraId="46D681C8" w14:textId="512778A8" w:rsidR="00DE2F02" w:rsidRPr="005313D3" w:rsidRDefault="00390191" w:rsidP="005313D3">
      <w:pPr>
        <w:pStyle w:val="ListParagraph"/>
        <w:spacing w:after="0" w:line="240" w:lineRule="auto"/>
        <w:ind w:left="360"/>
        <w:contextualSpacing w:val="0"/>
        <w:rPr>
          <w:rFonts w:ascii="Tahoma" w:hAnsi="Tahoma" w:cs="Tahoma"/>
          <w:sz w:val="24"/>
          <w:szCs w:val="24"/>
        </w:rPr>
      </w:pPr>
      <w:r w:rsidRPr="005313D3">
        <w:rPr>
          <w:rFonts w:ascii="Tahoma" w:hAnsi="Tahoma" w:cs="Tahoma"/>
          <w:sz w:val="24"/>
          <w:szCs w:val="24"/>
          <w:lang w:eastAsia="en-GB"/>
        </w:rPr>
        <w:t xml:space="preserve">The following legal entities </w:t>
      </w:r>
      <w:r w:rsidRPr="005313D3">
        <w:rPr>
          <w:rFonts w:ascii="Tahoma" w:hAnsi="Tahoma" w:cs="Tahoma"/>
          <w:b/>
          <w:bCs/>
          <w:sz w:val="24"/>
          <w:szCs w:val="24"/>
          <w:u w:val="single"/>
          <w:lang w:eastAsia="en-GB"/>
        </w:rPr>
        <w:t xml:space="preserve">will be </w:t>
      </w:r>
      <w:r w:rsidR="00DE2F02" w:rsidRPr="005313D3">
        <w:rPr>
          <w:rFonts w:ascii="Tahoma" w:hAnsi="Tahoma" w:cs="Tahoma"/>
          <w:b/>
          <w:bCs/>
          <w:sz w:val="24"/>
          <w:szCs w:val="24"/>
          <w:u w:val="single"/>
          <w:lang w:eastAsia="en-GB"/>
        </w:rPr>
        <w:t>in</w:t>
      </w:r>
      <w:r w:rsidRPr="005313D3">
        <w:rPr>
          <w:rFonts w:ascii="Tahoma" w:hAnsi="Tahoma" w:cs="Tahoma"/>
          <w:b/>
          <w:bCs/>
          <w:sz w:val="24"/>
          <w:szCs w:val="24"/>
          <w:u w:val="single"/>
          <w:lang w:eastAsia="en-GB"/>
        </w:rPr>
        <w:t>eligible</w:t>
      </w:r>
      <w:r w:rsidRPr="005313D3">
        <w:rPr>
          <w:rFonts w:ascii="Tahoma" w:hAnsi="Tahoma" w:cs="Tahoma"/>
          <w:b/>
          <w:bCs/>
          <w:sz w:val="24"/>
          <w:szCs w:val="24"/>
          <w:lang w:eastAsia="en-GB"/>
        </w:rPr>
        <w:t xml:space="preserve"> </w:t>
      </w:r>
      <w:r w:rsidRPr="005313D3">
        <w:rPr>
          <w:rFonts w:ascii="Tahoma" w:hAnsi="Tahoma" w:cs="Tahoma"/>
          <w:sz w:val="24"/>
          <w:szCs w:val="24"/>
          <w:lang w:eastAsia="en-GB"/>
        </w:rPr>
        <w:t>to apply for a grant from the Fund:</w:t>
      </w:r>
    </w:p>
    <w:p w14:paraId="76DE2E47" w14:textId="77777777" w:rsidR="00DE2F02" w:rsidRPr="005313D3" w:rsidRDefault="00390191" w:rsidP="005313D3">
      <w:pPr>
        <w:pStyle w:val="ListParagraph"/>
        <w:numPr>
          <w:ilvl w:val="0"/>
          <w:numId w:val="26"/>
        </w:numPr>
        <w:spacing w:after="0" w:line="240" w:lineRule="auto"/>
        <w:contextualSpacing w:val="0"/>
        <w:rPr>
          <w:rFonts w:ascii="Tahoma" w:hAnsi="Tahoma" w:cs="Tahoma"/>
          <w:sz w:val="24"/>
          <w:szCs w:val="24"/>
        </w:rPr>
      </w:pPr>
      <w:r w:rsidRPr="005313D3">
        <w:rPr>
          <w:rFonts w:ascii="Tahoma" w:hAnsi="Tahoma" w:cs="Tahoma"/>
          <w:sz w:val="24"/>
          <w:szCs w:val="24"/>
          <w:lang w:eastAsia="en-GB"/>
        </w:rPr>
        <w:t>Community Interest Companies (CICs)</w:t>
      </w:r>
    </w:p>
    <w:p w14:paraId="35CEB035" w14:textId="77777777" w:rsidR="00DE2F02" w:rsidRPr="005313D3" w:rsidRDefault="00390191" w:rsidP="005313D3">
      <w:pPr>
        <w:pStyle w:val="ListParagraph"/>
        <w:numPr>
          <w:ilvl w:val="0"/>
          <w:numId w:val="26"/>
        </w:numPr>
        <w:spacing w:after="0" w:line="240" w:lineRule="auto"/>
        <w:contextualSpacing w:val="0"/>
        <w:rPr>
          <w:rFonts w:ascii="Tahoma" w:hAnsi="Tahoma" w:cs="Tahoma"/>
          <w:sz w:val="24"/>
          <w:szCs w:val="24"/>
        </w:rPr>
      </w:pPr>
      <w:r w:rsidRPr="005313D3">
        <w:rPr>
          <w:rFonts w:ascii="Tahoma" w:hAnsi="Tahoma" w:cs="Tahoma"/>
          <w:sz w:val="24"/>
          <w:szCs w:val="24"/>
          <w:lang w:eastAsia="en-GB"/>
        </w:rPr>
        <w:t>Companies - Industrial and Provident Societies, Co-Operatives or Community Associations where no charity registration is in place.</w:t>
      </w:r>
    </w:p>
    <w:p w14:paraId="2A085E4A" w14:textId="77777777" w:rsidR="00DE2F02" w:rsidRPr="005313D3" w:rsidRDefault="00390191" w:rsidP="005313D3">
      <w:pPr>
        <w:pStyle w:val="ListParagraph"/>
        <w:numPr>
          <w:ilvl w:val="0"/>
          <w:numId w:val="26"/>
        </w:numPr>
        <w:spacing w:after="0" w:line="240" w:lineRule="auto"/>
        <w:contextualSpacing w:val="0"/>
        <w:rPr>
          <w:rFonts w:ascii="Tahoma" w:hAnsi="Tahoma" w:cs="Tahoma"/>
          <w:sz w:val="24"/>
          <w:szCs w:val="24"/>
        </w:rPr>
      </w:pPr>
      <w:r w:rsidRPr="005313D3">
        <w:rPr>
          <w:rFonts w:ascii="Tahoma" w:hAnsi="Tahoma" w:cs="Tahoma"/>
          <w:sz w:val="24"/>
          <w:szCs w:val="24"/>
          <w:lang w:eastAsia="en-GB"/>
        </w:rPr>
        <w:t>Sports Pavilions</w:t>
      </w:r>
    </w:p>
    <w:p w14:paraId="2CC0BD2F" w14:textId="77777777" w:rsidR="00DE2F02" w:rsidRPr="005313D3" w:rsidRDefault="00390191" w:rsidP="005313D3">
      <w:pPr>
        <w:pStyle w:val="ListParagraph"/>
        <w:numPr>
          <w:ilvl w:val="0"/>
          <w:numId w:val="26"/>
        </w:numPr>
        <w:spacing w:after="0" w:line="240" w:lineRule="auto"/>
        <w:contextualSpacing w:val="0"/>
        <w:rPr>
          <w:rFonts w:ascii="Tahoma" w:hAnsi="Tahoma" w:cs="Tahoma"/>
          <w:sz w:val="24"/>
          <w:szCs w:val="24"/>
        </w:rPr>
      </w:pPr>
      <w:r w:rsidRPr="005313D3">
        <w:rPr>
          <w:rFonts w:ascii="Tahoma" w:hAnsi="Tahoma" w:cs="Tahoma"/>
          <w:sz w:val="24"/>
          <w:szCs w:val="24"/>
          <w:lang w:eastAsia="en-GB"/>
        </w:rPr>
        <w:t>School Halls</w:t>
      </w:r>
    </w:p>
    <w:p w14:paraId="5430DD6F" w14:textId="77777777" w:rsidR="00DE2F02" w:rsidRPr="005313D3" w:rsidRDefault="00DE2F02" w:rsidP="005313D3">
      <w:pPr>
        <w:pStyle w:val="ListParagraph"/>
        <w:spacing w:after="0" w:line="240" w:lineRule="auto"/>
        <w:ind w:left="360"/>
        <w:contextualSpacing w:val="0"/>
        <w:rPr>
          <w:rFonts w:ascii="Tahoma" w:hAnsi="Tahoma" w:cs="Tahoma"/>
          <w:sz w:val="24"/>
          <w:szCs w:val="24"/>
        </w:rPr>
      </w:pPr>
    </w:p>
    <w:p w14:paraId="5381F958" w14:textId="4F159519" w:rsidR="00390191" w:rsidRPr="005313D3" w:rsidRDefault="00390191" w:rsidP="005313D3">
      <w:pPr>
        <w:pStyle w:val="ListParagraph"/>
        <w:numPr>
          <w:ilvl w:val="0"/>
          <w:numId w:val="21"/>
        </w:numPr>
        <w:spacing w:after="0" w:line="240" w:lineRule="auto"/>
        <w:contextualSpacing w:val="0"/>
        <w:rPr>
          <w:rFonts w:ascii="Tahoma" w:hAnsi="Tahoma" w:cs="Tahoma"/>
          <w:sz w:val="24"/>
          <w:szCs w:val="24"/>
        </w:rPr>
      </w:pPr>
      <w:r w:rsidRPr="005313D3">
        <w:rPr>
          <w:rFonts w:ascii="Tahoma" w:hAnsi="Tahoma" w:cs="Tahoma"/>
          <w:color w:val="000000"/>
          <w:sz w:val="24"/>
          <w:szCs w:val="24"/>
        </w:rPr>
        <w:t xml:space="preserve">Applicants must be able to demonstrate that they have </w:t>
      </w:r>
      <w:r w:rsidRPr="005313D3">
        <w:rPr>
          <w:rFonts w:ascii="Tahoma" w:hAnsi="Tahoma" w:cs="Tahoma"/>
          <w:sz w:val="24"/>
          <w:szCs w:val="24"/>
          <w:lang w:eastAsia="en-GB"/>
        </w:rPr>
        <w:t>a freehold or leasehold interest in the village hall in place. If a leasehold interest, there must be at least 21 years left to run on the lease.</w:t>
      </w:r>
    </w:p>
    <w:p w14:paraId="369DA90E" w14:textId="77777777" w:rsidR="006E187D" w:rsidRPr="005313D3" w:rsidRDefault="006E187D" w:rsidP="005313D3">
      <w:pPr>
        <w:spacing w:after="0" w:line="240" w:lineRule="auto"/>
        <w:rPr>
          <w:rFonts w:ascii="Tahoma" w:hAnsi="Tahoma" w:cs="Tahoma"/>
          <w:color w:val="000000"/>
          <w:sz w:val="24"/>
          <w:szCs w:val="24"/>
        </w:rPr>
      </w:pPr>
    </w:p>
    <w:p w14:paraId="031E25D2" w14:textId="0A05BB6C" w:rsidR="006E187D" w:rsidRPr="005313D3" w:rsidRDefault="006E187D" w:rsidP="005313D3">
      <w:pPr>
        <w:autoSpaceDE w:val="0"/>
        <w:autoSpaceDN w:val="0"/>
        <w:spacing w:after="0" w:line="240" w:lineRule="auto"/>
        <w:rPr>
          <w:rFonts w:ascii="Tahoma" w:hAnsi="Tahoma" w:cs="Tahoma"/>
          <w:color w:val="000000"/>
          <w:sz w:val="24"/>
          <w:szCs w:val="24"/>
        </w:rPr>
      </w:pPr>
      <w:r w:rsidRPr="005313D3">
        <w:rPr>
          <w:rFonts w:ascii="Tahoma" w:hAnsi="Tahoma" w:cs="Tahoma"/>
          <w:color w:val="000000"/>
          <w:sz w:val="24"/>
          <w:szCs w:val="24"/>
        </w:rPr>
        <w:t xml:space="preserve">If you have any queries check the FAQs or email </w:t>
      </w:r>
      <w:hyperlink r:id="rId11" w:history="1">
        <w:r w:rsidRPr="005313D3">
          <w:rPr>
            <w:rStyle w:val="Hyperlink"/>
            <w:rFonts w:ascii="Tahoma" w:hAnsi="Tahoma" w:cs="Tahoma"/>
            <w:sz w:val="24"/>
            <w:szCs w:val="24"/>
          </w:rPr>
          <w:t>villagehallsfund@acre.org.uk</w:t>
        </w:r>
      </w:hyperlink>
    </w:p>
    <w:sectPr w:rsidR="006E187D" w:rsidRPr="005313D3" w:rsidSect="00AB7F5C">
      <w:headerReference w:type="default" r:id="rId12"/>
      <w:footerReference w:type="default" r:id="rId13"/>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7CB" w14:textId="77777777" w:rsidR="00B10447" w:rsidRDefault="00B10447" w:rsidP="00833F29">
      <w:pPr>
        <w:spacing w:after="0" w:line="240" w:lineRule="auto"/>
      </w:pPr>
      <w:r>
        <w:separator/>
      </w:r>
    </w:p>
  </w:endnote>
  <w:endnote w:type="continuationSeparator" w:id="0">
    <w:p w14:paraId="3964A47A" w14:textId="77777777" w:rsidR="00B10447" w:rsidRDefault="00B10447" w:rsidP="0083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E2F2" w14:textId="2D67C265" w:rsidR="001E3886" w:rsidRPr="005313D3" w:rsidRDefault="001E3886">
    <w:pPr>
      <w:pStyle w:val="Footer"/>
      <w:rPr>
        <w:rFonts w:ascii="Tahoma" w:hAnsi="Tahoma" w:cs="Tahoma"/>
        <w:sz w:val="20"/>
        <w:szCs w:val="20"/>
      </w:rPr>
    </w:pPr>
    <w:r w:rsidRPr="005313D3">
      <w:rPr>
        <w:rFonts w:ascii="Tahoma" w:hAnsi="Tahoma" w:cs="Tahoma"/>
        <w:sz w:val="20"/>
        <w:szCs w:val="20"/>
      </w:rPr>
      <w:t xml:space="preserve">PJVHF </w:t>
    </w:r>
    <w:r w:rsidR="005313D3" w:rsidRPr="005313D3">
      <w:rPr>
        <w:rFonts w:ascii="Tahoma" w:hAnsi="Tahoma" w:cs="Tahoma"/>
        <w:sz w:val="20"/>
        <w:szCs w:val="20"/>
      </w:rPr>
      <w:t>S</w:t>
    </w:r>
    <w:r w:rsidRPr="005313D3">
      <w:rPr>
        <w:rFonts w:ascii="Tahoma" w:hAnsi="Tahoma" w:cs="Tahoma"/>
        <w:sz w:val="20"/>
        <w:szCs w:val="20"/>
      </w:rPr>
      <w:t xml:space="preserve">mall </w:t>
    </w:r>
    <w:r w:rsidR="005313D3" w:rsidRPr="005313D3">
      <w:rPr>
        <w:rFonts w:ascii="Tahoma" w:hAnsi="Tahoma" w:cs="Tahoma"/>
        <w:sz w:val="20"/>
        <w:szCs w:val="20"/>
      </w:rPr>
      <w:t>G</w:t>
    </w:r>
    <w:r w:rsidRPr="005313D3">
      <w:rPr>
        <w:rFonts w:ascii="Tahoma" w:hAnsi="Tahoma" w:cs="Tahoma"/>
        <w:sz w:val="20"/>
        <w:szCs w:val="20"/>
      </w:rPr>
      <w:t xml:space="preserve">rants </w:t>
    </w:r>
    <w:r w:rsidR="00FF356A" w:rsidRPr="005313D3">
      <w:rPr>
        <w:rFonts w:ascii="Tahoma" w:hAnsi="Tahoma" w:cs="Tahoma"/>
        <w:sz w:val="20"/>
        <w:szCs w:val="20"/>
      </w:rPr>
      <w:t xml:space="preserve">Criteria </w:t>
    </w:r>
    <w:r w:rsidR="005313D3" w:rsidRPr="005313D3">
      <w:rPr>
        <w:rFonts w:ascii="Tahoma" w:hAnsi="Tahoma" w:cs="Tahoma"/>
        <w:sz w:val="20"/>
        <w:szCs w:val="20"/>
      </w:rPr>
      <w:t>[</w:t>
    </w:r>
    <w:r w:rsidR="009B4064" w:rsidRPr="005313D3">
      <w:rPr>
        <w:rFonts w:ascii="Tahoma" w:hAnsi="Tahoma" w:cs="Tahoma"/>
        <w:sz w:val="20"/>
        <w:szCs w:val="20"/>
      </w:rPr>
      <w:t xml:space="preserve">Final </w:t>
    </w:r>
    <w:r w:rsidR="006514B9" w:rsidRPr="005313D3">
      <w:rPr>
        <w:rFonts w:ascii="Tahoma" w:hAnsi="Tahoma" w:cs="Tahoma"/>
        <w:sz w:val="20"/>
        <w:szCs w:val="20"/>
      </w:rPr>
      <w:t>31</w:t>
    </w:r>
    <w:r w:rsidR="005313D3" w:rsidRPr="005313D3">
      <w:rPr>
        <w:rFonts w:ascii="Tahoma" w:hAnsi="Tahoma" w:cs="Tahoma"/>
        <w:sz w:val="20"/>
        <w:szCs w:val="20"/>
      </w:rPr>
      <w:t>-Oct-2025]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9FD6" w14:textId="77777777" w:rsidR="00B10447" w:rsidRDefault="00B10447" w:rsidP="00833F29">
      <w:pPr>
        <w:spacing w:after="0" w:line="240" w:lineRule="auto"/>
      </w:pPr>
      <w:r>
        <w:separator/>
      </w:r>
    </w:p>
  </w:footnote>
  <w:footnote w:type="continuationSeparator" w:id="0">
    <w:p w14:paraId="4EDF95E8" w14:textId="77777777" w:rsidR="00B10447" w:rsidRDefault="00B10447" w:rsidP="00833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67DA" w14:textId="0A108445" w:rsidR="00833F29" w:rsidRDefault="00833F29">
    <w:pPr>
      <w:pStyle w:val="Header"/>
    </w:pPr>
    <w:r>
      <w:rPr>
        <w:noProof/>
      </w:rPr>
      <w:drawing>
        <wp:anchor distT="0" distB="0" distL="0" distR="0" simplePos="0" relativeHeight="251659264" behindDoc="1" locked="0" layoutInCell="1" allowOverlap="1" wp14:anchorId="22F9395C" wp14:editId="176AB2D9">
          <wp:simplePos x="0" y="0"/>
          <wp:positionH relativeFrom="page">
            <wp:posOffset>914400</wp:posOffset>
          </wp:positionH>
          <wp:positionV relativeFrom="page">
            <wp:posOffset>448945</wp:posOffset>
          </wp:positionV>
          <wp:extent cx="1246138" cy="514583"/>
          <wp:effectExtent l="0" t="0" r="0" b="0"/>
          <wp:wrapNone/>
          <wp:docPr id="1"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10;&#10;Description automatically generated"/>
                  <pic:cNvPicPr/>
                </pic:nvPicPr>
                <pic:blipFill>
                  <a:blip r:embed="rId1" cstate="print"/>
                  <a:stretch>
                    <a:fillRect/>
                  </a:stretch>
                </pic:blipFill>
                <pic:spPr>
                  <a:xfrm>
                    <a:off x="0" y="0"/>
                    <a:ext cx="1246138" cy="514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23D"/>
    <w:multiLevelType w:val="multilevel"/>
    <w:tmpl w:val="F9305494"/>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32529B"/>
    <w:multiLevelType w:val="hybridMultilevel"/>
    <w:tmpl w:val="1C962F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E5F4D"/>
    <w:multiLevelType w:val="multilevel"/>
    <w:tmpl w:val="8E70C1A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23087"/>
    <w:multiLevelType w:val="hybridMultilevel"/>
    <w:tmpl w:val="98800B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87D01"/>
    <w:multiLevelType w:val="hybridMultilevel"/>
    <w:tmpl w:val="C8A4D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283DF9"/>
    <w:multiLevelType w:val="multilevel"/>
    <w:tmpl w:val="82AA273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E9641E"/>
    <w:multiLevelType w:val="hybridMultilevel"/>
    <w:tmpl w:val="F5C4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05A28"/>
    <w:multiLevelType w:val="hybridMultilevel"/>
    <w:tmpl w:val="0F0C9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A542EC"/>
    <w:multiLevelType w:val="hybridMultilevel"/>
    <w:tmpl w:val="275E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65FAD"/>
    <w:multiLevelType w:val="hybridMultilevel"/>
    <w:tmpl w:val="0504E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52B28"/>
    <w:multiLevelType w:val="hybridMultilevel"/>
    <w:tmpl w:val="C90C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42CDB"/>
    <w:multiLevelType w:val="multilevel"/>
    <w:tmpl w:val="FF54E7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C5C52"/>
    <w:multiLevelType w:val="hybridMultilevel"/>
    <w:tmpl w:val="9F8A0D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F66D8"/>
    <w:multiLevelType w:val="multilevel"/>
    <w:tmpl w:val="86AAA22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247C51"/>
    <w:multiLevelType w:val="hybridMultilevel"/>
    <w:tmpl w:val="F02AFD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B397FA7"/>
    <w:multiLevelType w:val="multilevel"/>
    <w:tmpl w:val="FA146C52"/>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A74682"/>
    <w:multiLevelType w:val="multilevel"/>
    <w:tmpl w:val="6128C50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E902B6"/>
    <w:multiLevelType w:val="multilevel"/>
    <w:tmpl w:val="81D8C384"/>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AA7AA6"/>
    <w:multiLevelType w:val="hybridMultilevel"/>
    <w:tmpl w:val="1FBA666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27605C4"/>
    <w:multiLevelType w:val="hybridMultilevel"/>
    <w:tmpl w:val="BF001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4139D7"/>
    <w:multiLevelType w:val="hybridMultilevel"/>
    <w:tmpl w:val="3B7463DC"/>
    <w:lvl w:ilvl="0" w:tplc="7786AC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B2E42"/>
    <w:multiLevelType w:val="hybridMultilevel"/>
    <w:tmpl w:val="04522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00210"/>
    <w:multiLevelType w:val="hybridMultilevel"/>
    <w:tmpl w:val="5C7EDA6A"/>
    <w:lvl w:ilvl="0" w:tplc="B1E4E644">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CB341FC"/>
    <w:multiLevelType w:val="hybridMultilevel"/>
    <w:tmpl w:val="32C8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0A4DED"/>
    <w:multiLevelType w:val="hybridMultilevel"/>
    <w:tmpl w:val="0C78D4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803353"/>
    <w:multiLevelType w:val="hybridMultilevel"/>
    <w:tmpl w:val="469648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3321577">
    <w:abstractNumId w:val="8"/>
  </w:num>
  <w:num w:numId="2" w16cid:durableId="168908998">
    <w:abstractNumId w:val="23"/>
  </w:num>
  <w:num w:numId="3" w16cid:durableId="313721382">
    <w:abstractNumId w:val="4"/>
  </w:num>
  <w:num w:numId="4" w16cid:durableId="182475168">
    <w:abstractNumId w:val="11"/>
  </w:num>
  <w:num w:numId="5" w16cid:durableId="186701837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10419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33692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23163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766359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00080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5460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138818">
    <w:abstractNumId w:val="21"/>
  </w:num>
  <w:num w:numId="13" w16cid:durableId="540674341">
    <w:abstractNumId w:val="9"/>
  </w:num>
  <w:num w:numId="14" w16cid:durableId="1941790144">
    <w:abstractNumId w:val="19"/>
  </w:num>
  <w:num w:numId="15" w16cid:durableId="1417050907">
    <w:abstractNumId w:val="6"/>
  </w:num>
  <w:num w:numId="16" w16cid:durableId="1090202937">
    <w:abstractNumId w:val="20"/>
  </w:num>
  <w:num w:numId="17" w16cid:durableId="366639991">
    <w:abstractNumId w:val="14"/>
  </w:num>
  <w:num w:numId="18" w16cid:durableId="58215296">
    <w:abstractNumId w:val="10"/>
  </w:num>
  <w:num w:numId="19" w16cid:durableId="1028407809">
    <w:abstractNumId w:val="18"/>
  </w:num>
  <w:num w:numId="20" w16cid:durableId="149181737">
    <w:abstractNumId w:val="22"/>
  </w:num>
  <w:num w:numId="21" w16cid:durableId="483275112">
    <w:abstractNumId w:val="7"/>
  </w:num>
  <w:num w:numId="22" w16cid:durableId="1032421081">
    <w:abstractNumId w:val="25"/>
  </w:num>
  <w:num w:numId="23" w16cid:durableId="1388146615">
    <w:abstractNumId w:val="24"/>
  </w:num>
  <w:num w:numId="24" w16cid:durableId="2067416577">
    <w:abstractNumId w:val="12"/>
  </w:num>
  <w:num w:numId="25" w16cid:durableId="1009914420">
    <w:abstractNumId w:val="1"/>
  </w:num>
  <w:num w:numId="26" w16cid:durableId="1980455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91"/>
    <w:rsid w:val="00014213"/>
    <w:rsid w:val="001B5A98"/>
    <w:rsid w:val="001E3886"/>
    <w:rsid w:val="0021178D"/>
    <w:rsid w:val="00216B92"/>
    <w:rsid w:val="002C49A2"/>
    <w:rsid w:val="00390191"/>
    <w:rsid w:val="00390986"/>
    <w:rsid w:val="0041645B"/>
    <w:rsid w:val="00432FE7"/>
    <w:rsid w:val="00491D42"/>
    <w:rsid w:val="004B3FA3"/>
    <w:rsid w:val="004B448F"/>
    <w:rsid w:val="005313D3"/>
    <w:rsid w:val="005909E4"/>
    <w:rsid w:val="005919D1"/>
    <w:rsid w:val="00597289"/>
    <w:rsid w:val="00605DE3"/>
    <w:rsid w:val="006514B9"/>
    <w:rsid w:val="006E187D"/>
    <w:rsid w:val="00737ADE"/>
    <w:rsid w:val="007A58EA"/>
    <w:rsid w:val="007C752D"/>
    <w:rsid w:val="00833F29"/>
    <w:rsid w:val="00843F94"/>
    <w:rsid w:val="0085604C"/>
    <w:rsid w:val="00873E05"/>
    <w:rsid w:val="008B35F1"/>
    <w:rsid w:val="00934774"/>
    <w:rsid w:val="00973DA5"/>
    <w:rsid w:val="009B4064"/>
    <w:rsid w:val="00AB7F5C"/>
    <w:rsid w:val="00B10447"/>
    <w:rsid w:val="00B144A6"/>
    <w:rsid w:val="00BD006C"/>
    <w:rsid w:val="00BE408B"/>
    <w:rsid w:val="00C74288"/>
    <w:rsid w:val="00CC5BA9"/>
    <w:rsid w:val="00D05DB4"/>
    <w:rsid w:val="00D07867"/>
    <w:rsid w:val="00DE2F02"/>
    <w:rsid w:val="00E4626D"/>
    <w:rsid w:val="00E672CE"/>
    <w:rsid w:val="00EE270A"/>
    <w:rsid w:val="00F260FB"/>
    <w:rsid w:val="00FC6F68"/>
    <w:rsid w:val="00FF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F621"/>
  <w15:chartTrackingRefBased/>
  <w15:docId w15:val="{022BEF83-FE54-4A21-B936-F1365101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9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191"/>
    <w:pPr>
      <w:ind w:left="720"/>
      <w:contextualSpacing/>
    </w:pPr>
  </w:style>
  <w:style w:type="character" w:styleId="Hyperlink">
    <w:name w:val="Hyperlink"/>
    <w:basedOn w:val="DefaultParagraphFont"/>
    <w:uiPriority w:val="99"/>
    <w:unhideWhenUsed/>
    <w:rsid w:val="006E187D"/>
    <w:rPr>
      <w:color w:val="0563C1" w:themeColor="hyperlink"/>
      <w:u w:val="single"/>
    </w:rPr>
  </w:style>
  <w:style w:type="character" w:styleId="UnresolvedMention">
    <w:name w:val="Unresolved Mention"/>
    <w:basedOn w:val="DefaultParagraphFont"/>
    <w:uiPriority w:val="99"/>
    <w:semiHidden/>
    <w:unhideWhenUsed/>
    <w:rsid w:val="006E187D"/>
    <w:rPr>
      <w:color w:val="605E5C"/>
      <w:shd w:val="clear" w:color="auto" w:fill="E1DFDD"/>
    </w:rPr>
  </w:style>
  <w:style w:type="paragraph" w:styleId="Header">
    <w:name w:val="header"/>
    <w:basedOn w:val="Normal"/>
    <w:link w:val="HeaderChar"/>
    <w:uiPriority w:val="99"/>
    <w:unhideWhenUsed/>
    <w:rsid w:val="0083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F29"/>
    <w:rPr>
      <w:kern w:val="0"/>
      <w14:ligatures w14:val="none"/>
    </w:rPr>
  </w:style>
  <w:style w:type="paragraph" w:styleId="Footer">
    <w:name w:val="footer"/>
    <w:basedOn w:val="Normal"/>
    <w:link w:val="FooterChar"/>
    <w:uiPriority w:val="99"/>
    <w:unhideWhenUsed/>
    <w:rsid w:val="0083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F29"/>
    <w:rPr>
      <w:kern w:val="0"/>
      <w14:ligatures w14:val="none"/>
    </w:rPr>
  </w:style>
  <w:style w:type="paragraph" w:styleId="BodyText">
    <w:name w:val="Body Text"/>
    <w:basedOn w:val="Normal"/>
    <w:link w:val="BodyTextChar"/>
    <w:uiPriority w:val="1"/>
    <w:qFormat/>
    <w:rsid w:val="00CC5BA9"/>
    <w:pPr>
      <w:widowControl w:val="0"/>
      <w:autoSpaceDE w:val="0"/>
      <w:autoSpaceDN w:val="0"/>
      <w:spacing w:before="159" w:after="0" w:line="240" w:lineRule="auto"/>
      <w:ind w:left="100"/>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CC5BA9"/>
    <w:rPr>
      <w:rFonts w:ascii="Tahoma" w:eastAsia="Tahoma" w:hAnsi="Tahoma" w:cs="Tahom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lagehallsfund@acr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fa7dd-56bf-45c0-adef-19bf27f5ce22">
      <Terms xmlns="http://schemas.microsoft.com/office/infopath/2007/PartnerControls"/>
    </lcf76f155ced4ddcb4097134ff3c332f>
    <TaxCatchAll xmlns="9d2db3a0-7912-4bd4-84f4-696d6c8743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270CDB0391B4FB157FF071F7859B5" ma:contentTypeVersion="12" ma:contentTypeDescription="Create a new document." ma:contentTypeScope="" ma:versionID="ab94c0c1f0187b794148793f9d23feed">
  <xsd:schema xmlns:xsd="http://www.w3.org/2001/XMLSchema" xmlns:xs="http://www.w3.org/2001/XMLSchema" xmlns:p="http://schemas.microsoft.com/office/2006/metadata/properties" xmlns:ns2="319fa7dd-56bf-45c0-adef-19bf27f5ce22" xmlns:ns3="9d2db3a0-7912-4bd4-84f4-696d6c874302" targetNamespace="http://schemas.microsoft.com/office/2006/metadata/properties" ma:root="true" ma:fieldsID="542cca80670d823f66715d7540a6c5bd" ns2:_="" ns3:_="">
    <xsd:import namespace="319fa7dd-56bf-45c0-adef-19bf27f5ce22"/>
    <xsd:import namespace="9d2db3a0-7912-4bd4-84f4-696d6c874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fa7dd-56bf-45c0-adef-19bf27f5c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b0a3d8-4793-4ee5-8a93-1022e569aa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db3a0-7912-4bd4-84f4-696d6c8743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2e47d-7062-43a7-a67c-16ea2d99ae3d}" ma:internalName="TaxCatchAll" ma:showField="CatchAllData" ma:web="9d2db3a0-7912-4bd4-84f4-696d6c874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20935-E27E-480E-8B41-46CC4A4700B0}">
  <ds:schemaRefs>
    <ds:schemaRef ds:uri="http://schemas.microsoft.com/sharepoint/v3/contenttype/forms"/>
  </ds:schemaRefs>
</ds:datastoreItem>
</file>

<file path=customXml/itemProps2.xml><?xml version="1.0" encoding="utf-8"?>
<ds:datastoreItem xmlns:ds="http://schemas.openxmlformats.org/officeDocument/2006/customXml" ds:itemID="{0F053862-DA8B-4AC6-A390-E6729048BF6B}">
  <ds:schemaRefs>
    <ds:schemaRef ds:uri="319fa7dd-56bf-45c0-adef-19bf27f5ce22"/>
    <ds:schemaRef ds:uri="9d2db3a0-7912-4bd4-84f4-696d6c874302"/>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A62FB48-0DEB-4827-8EC8-546E21532F14}">
  <ds:schemaRefs>
    <ds:schemaRef ds:uri="http://schemas.openxmlformats.org/officeDocument/2006/bibliography"/>
  </ds:schemaRefs>
</ds:datastoreItem>
</file>

<file path=customXml/itemProps4.xml><?xml version="1.0" encoding="utf-8"?>
<ds:datastoreItem xmlns:ds="http://schemas.openxmlformats.org/officeDocument/2006/customXml" ds:itemID="{49C99611-8769-48FB-AAF0-B274DB5A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fa7dd-56bf-45c0-adef-19bf27f5ce22"/>
    <ds:schemaRef ds:uri="9d2db3a0-7912-4bd4-84f4-696d6c874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Clarke (ACRE)</dc:creator>
  <cp:keywords/>
  <dc:description/>
  <cp:lastModifiedBy>Village Halls Fund</cp:lastModifiedBy>
  <cp:revision>34</cp:revision>
  <dcterms:created xsi:type="dcterms:W3CDTF">2023-12-12T10:42:00Z</dcterms:created>
  <dcterms:modified xsi:type="dcterms:W3CDTF">2025-11-03T16:03:00Z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0x0101009A5270CDB0391B4FB157FF071F7859B5</vt:lpwstr>
  </property>
  <property fmtid="{D5CDD505-2E9C-101B-9397-08002B2CF9AE}" pid="3" name="MediaServiceImageTags">
    <vt:lpwstr/>
  </property>
</Properties>
</file>